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BCF6D">
      <w:pPr>
        <w:spacing w:before="240" w:after="240" w:line="360" w:lineRule="auto"/>
        <w:ind w:firstLine="0"/>
        <w:jc w:val="center"/>
      </w:pPr>
      <w:r>
        <w:rPr>
          <w:rFonts w:ascii="宋体" w:hAnsi="宋体" w:eastAsia="宋体"/>
          <w:b/>
          <w:sz w:val="44"/>
        </w:rPr>
        <w:t>国家税务总局关于降低土地增值税预征率下限的公告（2024年第10号）</w:t>
      </w:r>
    </w:p>
    <w:p w14:paraId="583A47E7">
      <w:pPr>
        <w:spacing w:before="0" w:after="0" w:line="460" w:lineRule="exact"/>
        <w:ind w:firstLine="560"/>
      </w:pPr>
      <w:bookmarkStart w:id="0" w:name="_GoBack"/>
      <w:bookmarkEnd w:id="0"/>
      <w:r>
        <w:rPr>
          <w:rFonts w:ascii="仿宋" w:hAnsi="仿宋" w:eastAsia="仿宋"/>
          <w:b w:val="0"/>
          <w:sz w:val="28"/>
        </w:rPr>
        <w:t>为更好发挥土地增值税调节作用，根据《中华人民共和国土地增值税暂行条例》及其实施细则等有关规定，将土地增值税预征率下限降低0.5个百分点。调整后，除保障性住房外，东部地区省份预征率下限为  ，中部和东北地区省份预征率下限为  ，西部地区省份预征率下限为  （地区的划分按照国务院有关文件的规定执行）。</w:t>
      </w:r>
    </w:p>
    <w:p w14:paraId="27199C50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本公告自2024年12月1日起施行。《国家税务总局关于加强土地增值税征管工作的通知》（国税发〔2010〕53号）第二条第二款规定同时废止。</w:t>
      </w:r>
    </w:p>
    <w:p w14:paraId="423BEB6C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特此公告。</w:t>
      </w:r>
    </w:p>
    <w:p w14:paraId="6CF1EEF2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国家税务总局</w:t>
      </w:r>
    </w:p>
    <w:p w14:paraId="2BB4669B">
      <w:pPr>
        <w:spacing w:before="0" w:after="0" w:line="460" w:lineRule="exact"/>
        <w:ind w:firstLine="560"/>
      </w:pPr>
      <w:r>
        <w:rPr>
          <w:rFonts w:ascii="仿宋" w:hAnsi="仿宋" w:eastAsia="仿宋"/>
          <w:b w:val="0"/>
          <w:sz w:val="28"/>
        </w:rPr>
        <w:t>2024年11月13日</w:t>
      </w:r>
    </w:p>
    <w:sectPr>
      <w:footerReference r:id="rId5" w:type="default"/>
      <w:pgSz w:w="11906" w:h="16838"/>
      <w:pgMar w:top="1984" w:right="1474" w:bottom="1871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ZFangSong-Z02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BF985">
    <w:pPr>
      <w:pStyle w:val="24"/>
      <w:jc w:val="center"/>
    </w:pPr>
    <w:r>
      <w:rPr>
        <w:rFonts w:ascii="仿宋" w:hAnsi="仿宋" w:eastAsia="仿宋"/>
        <w:sz w:val="24"/>
      </w:rPr>
      <w:fldChar w:fldCharType="begin"/>
    </w:r>
    <w:r>
      <w:rPr>
        <w:rFonts w:ascii="仿宋" w:hAnsi="仿宋" w:eastAsia="仿宋"/>
        <w:sz w:val="24"/>
      </w:rPr>
      <w:instrText xml:space="preserve">PAGE</w:instrText>
    </w:r>
    <w:r>
      <w:rPr>
        <w:rFonts w:ascii="仿宋" w:hAnsi="仿宋" w:eastAsia="仿宋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DEDD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杨律师</cp:lastModifiedBy>
  <dcterms:modified xsi:type="dcterms:W3CDTF">2026-08-10T09:26:48Z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CF75E2850BA2A150D828796A11A7CE9C_42</vt:lpwstr>
  </property>
</Properties>
</file>