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27449">
      <w:pPr>
        <w:spacing w:before="240" w:after="240" w:line="360" w:lineRule="auto"/>
        <w:ind w:firstLine="0"/>
        <w:jc w:val="center"/>
      </w:pPr>
      <w:r>
        <w:rPr>
          <w:rFonts w:ascii="宋体" w:hAnsi="宋体" w:eastAsia="宋体"/>
          <w:b/>
          <w:sz w:val="44"/>
        </w:rPr>
        <w:t>财政部、税务总局关于增值税进项税额抵扣等有关事项的公告（2026年第13号）</w:t>
      </w:r>
    </w:p>
    <w:p w14:paraId="1822A573">
      <w:pPr>
        <w:spacing w:before="0" w:after="0" w:line="460" w:lineRule="exact"/>
        <w:ind w:firstLine="560"/>
      </w:pPr>
      <w:bookmarkStart w:id="0" w:name="_GoBack"/>
      <w:bookmarkEnd w:id="0"/>
      <w:r>
        <w:rPr>
          <w:rFonts w:ascii="仿宋" w:hAnsi="仿宋" w:eastAsia="仿宋"/>
          <w:b w:val="0"/>
          <w:sz w:val="28"/>
        </w:rPr>
        <w:t>根据《中华人民共和国增值税法》和《中华人民共和国增值税法实施条例》（以下简称增值税法实施条例）有关规定，延续现行制度和做法，现将增值税进项税额抵扣等有关事项公告如下：</w:t>
      </w:r>
    </w:p>
    <w:p w14:paraId="2ACF2A12">
      <w:pPr>
        <w:spacing w:before="0" w:after="0" w:line="460" w:lineRule="exact"/>
        <w:ind w:firstLine="560"/>
      </w:pPr>
      <w:r>
        <w:rPr>
          <w:rFonts w:ascii="仿宋" w:hAnsi="仿宋" w:eastAsia="仿宋"/>
          <w:b w:val="0"/>
          <w:sz w:val="28"/>
        </w:rPr>
        <w:t>一、　关于增值税进项税额抵扣</w:t>
      </w:r>
    </w:p>
    <w:p w14:paraId="0900D037">
      <w:pPr>
        <w:spacing w:before="0" w:after="0" w:line="460" w:lineRule="exact"/>
        <w:ind w:firstLine="560"/>
      </w:pPr>
      <w:r>
        <w:rPr>
          <w:rFonts w:ascii="仿宋" w:hAnsi="仿宋" w:eastAsia="仿宋"/>
          <w:b w:val="0"/>
          <w:sz w:val="28"/>
        </w:rPr>
        <w:t>（一）一般纳税人购进机动车取得机动车销售统一发票的，按照发票上列明的增值税税额确定可以从销项税额中抵扣的进项税额。</w:t>
      </w:r>
    </w:p>
    <w:p w14:paraId="49FBFB4E">
      <w:pPr>
        <w:spacing w:before="0" w:after="0" w:line="460" w:lineRule="exact"/>
        <w:ind w:firstLine="560"/>
      </w:pPr>
      <w:r>
        <w:rPr>
          <w:rFonts w:ascii="仿宋" w:hAnsi="仿宋" w:eastAsia="仿宋"/>
          <w:b w:val="0"/>
          <w:sz w:val="28"/>
        </w:rPr>
        <w:t>（二）一般纳税人购进国内旅客运输服务，除取得增值税专用发票外，按照以下规定确定可以从销项税额中抵扣的进项税额：</w:t>
      </w:r>
    </w:p>
    <w:p w14:paraId="33402AE1">
      <w:pPr>
        <w:spacing w:before="0" w:after="0" w:line="460" w:lineRule="exact"/>
        <w:ind w:firstLine="560"/>
      </w:pPr>
      <w:r>
        <w:rPr>
          <w:rFonts w:ascii="仿宋" w:hAnsi="仿宋" w:eastAsia="仿宋"/>
          <w:b w:val="0"/>
          <w:sz w:val="28"/>
        </w:rPr>
        <w:t>1.取得电子发票（铁路电子客票）、电子发票（航空运输电子客票行程单）的，为发票上列明或包含的增值税税额；</w:t>
      </w:r>
    </w:p>
    <w:p w14:paraId="231570AC">
      <w:pPr>
        <w:spacing w:before="0" w:after="0" w:line="460" w:lineRule="exact"/>
        <w:ind w:firstLine="560"/>
      </w:pPr>
      <w:r>
        <w:rPr>
          <w:rFonts w:ascii="仿宋" w:hAnsi="仿宋" w:eastAsia="仿宋"/>
          <w:b w:val="0"/>
          <w:sz w:val="28"/>
        </w:rPr>
        <w:t>2.取得列明旅客身份信息的公路、水路等其他客票的，按照下列公式计算进项税额：</w:t>
      </w:r>
    </w:p>
    <w:p w14:paraId="301F9B44">
      <w:pPr>
        <w:spacing w:before="0" w:after="0" w:line="460" w:lineRule="exact"/>
        <w:ind w:firstLine="560"/>
      </w:pPr>
      <w:r>
        <w:rPr>
          <w:rFonts w:ascii="仿宋" w:hAnsi="仿宋" w:eastAsia="仿宋"/>
          <w:b w:val="0"/>
          <w:sz w:val="28"/>
        </w:rPr>
        <w:t>公路、水路等其他旅客运输可抵扣进项税额＝票面金额÷（1＋3%）×3%</w:t>
      </w:r>
    </w:p>
    <w:p w14:paraId="47071997">
      <w:pPr>
        <w:spacing w:before="0" w:after="0" w:line="460" w:lineRule="exact"/>
        <w:ind w:firstLine="560"/>
      </w:pPr>
      <w:r>
        <w:rPr>
          <w:rFonts w:ascii="仿宋" w:hAnsi="仿宋" w:eastAsia="仿宋"/>
          <w:b w:val="0"/>
          <w:sz w:val="28"/>
        </w:rPr>
        <w:t>（三）一般纳税人购进道路、桥、闸通行服务，除取得增值税专用发票外，按照以下规定确定可以从销项税额中抵扣的进项税额：</w:t>
      </w:r>
    </w:p>
    <w:p w14:paraId="241962F3">
      <w:pPr>
        <w:spacing w:before="0" w:after="0" w:line="460" w:lineRule="exact"/>
        <w:ind w:firstLine="560"/>
      </w:pPr>
      <w:r>
        <w:rPr>
          <w:rFonts w:ascii="仿宋" w:hAnsi="仿宋" w:eastAsia="仿宋"/>
          <w:b w:val="0"/>
          <w:sz w:val="28"/>
        </w:rPr>
        <w:t>1.取得收费公路通行费增值税电子普通发票、带有“通行费”字样的电子发票（普通发票）的，为发票上列明的增值税税额；</w:t>
      </w:r>
    </w:p>
    <w:p w14:paraId="35A4BD99">
      <w:pPr>
        <w:spacing w:before="0" w:after="0" w:line="460" w:lineRule="exact"/>
        <w:ind w:firstLine="560"/>
      </w:pPr>
      <w:r>
        <w:rPr>
          <w:rFonts w:ascii="仿宋" w:hAnsi="仿宋" w:eastAsia="仿宋"/>
          <w:b w:val="0"/>
          <w:sz w:val="28"/>
        </w:rPr>
        <w:t>2.取得桥、闸通行费发票的，按照下列公式计算进项税额：</w:t>
      </w:r>
    </w:p>
    <w:p w14:paraId="42629336">
      <w:pPr>
        <w:spacing w:before="0" w:after="0" w:line="460" w:lineRule="exact"/>
        <w:ind w:firstLine="560"/>
      </w:pPr>
      <w:r>
        <w:rPr>
          <w:rFonts w:ascii="仿宋" w:hAnsi="仿宋" w:eastAsia="仿宋"/>
          <w:b w:val="0"/>
          <w:sz w:val="28"/>
        </w:rPr>
        <w:t>桥、闸通行费可抵扣进项税额＝桥、闸通行费发票上列明的金额÷（1＋5%）×5%</w:t>
      </w:r>
    </w:p>
    <w:p w14:paraId="45980FA7">
      <w:pPr>
        <w:spacing w:before="0" w:after="0" w:line="460" w:lineRule="exact"/>
        <w:ind w:firstLine="560"/>
      </w:pPr>
      <w:r>
        <w:rPr>
          <w:rFonts w:ascii="仿宋" w:hAnsi="仿宋" w:eastAsia="仿宋"/>
          <w:b w:val="0"/>
          <w:sz w:val="28"/>
        </w:rPr>
        <w:t>通行费，是指有关单位依法或者依规设立并收取的过路、过桥和过闸费用。</w:t>
      </w:r>
    </w:p>
    <w:p w14:paraId="36D5C0D0">
      <w:pPr>
        <w:spacing w:before="0" w:after="0" w:line="460" w:lineRule="exact"/>
        <w:ind w:firstLine="560"/>
      </w:pPr>
      <w:r>
        <w:rPr>
          <w:rFonts w:ascii="仿宋" w:hAnsi="仿宋" w:eastAsia="仿宋"/>
          <w:b w:val="0"/>
          <w:sz w:val="28"/>
        </w:rPr>
        <w:t>（四）一般纳税人购进货物（不含固定资产）、服务，用于简易计税方法计税项目、免征增值税项目和不得抵扣非应税交易而无法划分不得抵扣的进项税额的，按照下列公式计算当期不得抵扣的进项税额：</w:t>
      </w:r>
    </w:p>
    <w:p w14:paraId="0CCDF1CD">
      <w:pPr>
        <w:spacing w:before="0" w:after="0" w:line="460" w:lineRule="exact"/>
        <w:ind w:firstLine="560"/>
      </w:pPr>
      <w:r>
        <w:rPr>
          <w:rFonts w:ascii="仿宋" w:hAnsi="仿宋" w:eastAsia="仿宋"/>
          <w:b w:val="0"/>
          <w:sz w:val="28"/>
        </w:rPr>
        <w:t>（五）一般纳税人凭完税凭证抵扣进项税额的，应当具备书面合同、付款证明和境外单位的对账单或者发票。纳税人未按规定提供上述资料的，不得抵扣。</w:t>
      </w:r>
    </w:p>
    <w:p w14:paraId="7E3FA6A2">
      <w:pPr>
        <w:spacing w:before="0" w:after="0" w:line="460" w:lineRule="exact"/>
        <w:ind w:firstLine="560"/>
      </w:pPr>
      <w:r>
        <w:rPr>
          <w:rFonts w:ascii="仿宋" w:hAnsi="仿宋" w:eastAsia="仿宋"/>
          <w:b w:val="0"/>
          <w:sz w:val="28"/>
        </w:rPr>
        <w:t>二、　关于资产重组</w:t>
      </w:r>
    </w:p>
    <w:p w14:paraId="72F76B5D">
      <w:pPr>
        <w:spacing w:before="0" w:after="0" w:line="460" w:lineRule="exact"/>
        <w:ind w:firstLine="560"/>
      </w:pPr>
      <w:r>
        <w:rPr>
          <w:rFonts w:ascii="仿宋" w:hAnsi="仿宋" w:eastAsia="仿宋"/>
          <w:b w:val="0"/>
          <w:sz w:val="28"/>
        </w:rPr>
        <w:t>（一）纳税人通过合并、分立、出售、置换等方式实施资产重组，同时符合下列条件的，不属于增值税应税交易和增值税法实施条例第二十二条规定的不得抵扣非应税交易，涉及的货物、金融商品、无形资产、不动产（以下统称资产）转让，不征收增值税，对应的进项税额可以按规定从销项税额中抵扣：</w:t>
      </w:r>
    </w:p>
    <w:p w14:paraId="4E2E4238">
      <w:pPr>
        <w:spacing w:before="0" w:after="0" w:line="460" w:lineRule="exact"/>
        <w:ind w:firstLine="560"/>
      </w:pPr>
      <w:r>
        <w:rPr>
          <w:rFonts w:ascii="仿宋" w:hAnsi="仿宋" w:eastAsia="仿宋"/>
          <w:b w:val="0"/>
          <w:sz w:val="28"/>
        </w:rPr>
        <w:t>1.资产重组的标的是可以相对独立运营的经营业务。</w:t>
      </w:r>
    </w:p>
    <w:p w14:paraId="6DEB6318">
      <w:pPr>
        <w:spacing w:before="0" w:after="0" w:line="460" w:lineRule="exact"/>
        <w:ind w:firstLine="560"/>
      </w:pPr>
      <w:r>
        <w:rPr>
          <w:rFonts w:ascii="仿宋" w:hAnsi="仿宋" w:eastAsia="仿宋"/>
          <w:b w:val="0"/>
          <w:sz w:val="28"/>
        </w:rPr>
        <w:t>2.纳税人实施资产重组时，应当将全部或者部分资产，与相关联的对应债权、负债和员工共同组成资产包，一并转让。资产包中应当同时包括资产、债权、负债和员工。</w:t>
      </w:r>
    </w:p>
    <w:p w14:paraId="727E0560">
      <w:pPr>
        <w:spacing w:before="0" w:after="0" w:line="460" w:lineRule="exact"/>
        <w:ind w:firstLine="560"/>
      </w:pPr>
      <w:r>
        <w:rPr>
          <w:rFonts w:ascii="仿宋" w:hAnsi="仿宋" w:eastAsia="仿宋"/>
          <w:b w:val="0"/>
          <w:sz w:val="28"/>
        </w:rPr>
        <w:t>3.资产重组应当具有合理的商业目的，且不以减少、免除、推迟缴纳增值税税款或者提前退税、多退税款为主要目的。</w:t>
      </w:r>
    </w:p>
    <w:p w14:paraId="50C09F84">
      <w:pPr>
        <w:spacing w:before="0" w:after="0" w:line="460" w:lineRule="exact"/>
        <w:ind w:firstLine="560"/>
      </w:pPr>
      <w:r>
        <w:rPr>
          <w:rFonts w:ascii="仿宋" w:hAnsi="仿宋" w:eastAsia="仿宋"/>
          <w:b w:val="0"/>
          <w:sz w:val="28"/>
        </w:rPr>
        <w:t>4.资产重组的转让方属于一般纳税人的，接收方也应当属于一般纳税人。</w:t>
      </w:r>
    </w:p>
    <w:p w14:paraId="1799F9EE">
      <w:pPr>
        <w:spacing w:before="0" w:after="0" w:line="460" w:lineRule="exact"/>
        <w:ind w:firstLine="560"/>
      </w:pPr>
      <w:r>
        <w:rPr>
          <w:rFonts w:ascii="仿宋" w:hAnsi="仿宋" w:eastAsia="仿宋"/>
          <w:b w:val="0"/>
          <w:sz w:val="28"/>
        </w:rPr>
        <w:t>（二）纳税人因实施上述资产重组被合并，办理注销税务登记的，注销登记前尚未抵扣的进项税额，可以由合并后的纳税人继续抵扣。</w:t>
      </w:r>
    </w:p>
    <w:p w14:paraId="6B4E34C4">
      <w:pPr>
        <w:spacing w:before="0" w:after="0" w:line="460" w:lineRule="exact"/>
        <w:ind w:firstLine="560"/>
      </w:pPr>
      <w:r>
        <w:rPr>
          <w:rFonts w:ascii="仿宋" w:hAnsi="仿宋" w:eastAsia="仿宋"/>
          <w:b w:val="0"/>
          <w:sz w:val="28"/>
        </w:rPr>
        <w:t>三、　关于一项应税交易涉及两个以上税率</w:t>
      </w:r>
    </w:p>
    <w:p w14:paraId="18809480">
      <w:pPr>
        <w:spacing w:before="0" w:after="0" w:line="460" w:lineRule="exact"/>
        <w:ind w:firstLine="560"/>
      </w:pPr>
      <w:r>
        <w:rPr>
          <w:rFonts w:ascii="仿宋" w:hAnsi="仿宋" w:eastAsia="仿宋"/>
          <w:b w:val="0"/>
          <w:sz w:val="28"/>
        </w:rPr>
        <w:t>一般纳税人发生下列情形，应当按照应税交易的主要业务适用税率：</w:t>
      </w:r>
    </w:p>
    <w:p w14:paraId="1C4FEC15">
      <w:pPr>
        <w:spacing w:before="0" w:after="0" w:line="460" w:lineRule="exact"/>
        <w:ind w:firstLine="560"/>
      </w:pPr>
      <w:r>
        <w:rPr>
          <w:rFonts w:ascii="仿宋" w:hAnsi="仿宋" w:eastAsia="仿宋"/>
          <w:b w:val="0"/>
          <w:sz w:val="28"/>
        </w:rPr>
        <w:t>（一）销售软件产品的同时提供的软件安装、维护、培训等服务，适用软件产品的税率。</w:t>
      </w:r>
    </w:p>
    <w:p w14:paraId="328D4D10">
      <w:pPr>
        <w:spacing w:before="0" w:after="0" w:line="460" w:lineRule="exact"/>
        <w:ind w:firstLine="560"/>
      </w:pPr>
      <w:r>
        <w:rPr>
          <w:rFonts w:ascii="仿宋" w:hAnsi="仿宋" w:eastAsia="仿宋"/>
          <w:b w:val="0"/>
          <w:sz w:val="28"/>
        </w:rPr>
        <w:t>（二）销售活动板房、机器设备、钢结构件等货物的同时提供的安装服务，适用货物的税率。</w:t>
      </w:r>
    </w:p>
    <w:p w14:paraId="7449D578">
      <w:pPr>
        <w:spacing w:before="0" w:after="0" w:line="460" w:lineRule="exact"/>
        <w:ind w:firstLine="560"/>
      </w:pPr>
      <w:r>
        <w:rPr>
          <w:rFonts w:ascii="仿宋" w:hAnsi="仿宋" w:eastAsia="仿宋"/>
          <w:b w:val="0"/>
          <w:sz w:val="28"/>
        </w:rPr>
        <w:t>（三）充换电业务中销售电力产品的同时收取的蓄电池更换、定位、维护等服务费，适用电力产品的税率。</w:t>
      </w:r>
    </w:p>
    <w:p w14:paraId="72E587CE">
      <w:pPr>
        <w:spacing w:before="0" w:after="0" w:line="460" w:lineRule="exact"/>
        <w:ind w:firstLine="560"/>
      </w:pPr>
      <w:r>
        <w:rPr>
          <w:rFonts w:ascii="仿宋" w:hAnsi="仿宋" w:eastAsia="仿宋"/>
          <w:b w:val="0"/>
          <w:sz w:val="28"/>
        </w:rPr>
        <w:t>（四）提供交通工具租赁服务的同时收取的信息技术等服务费，适用租赁服务的税率。</w:t>
      </w:r>
    </w:p>
    <w:p w14:paraId="2B395527">
      <w:pPr>
        <w:spacing w:before="0" w:after="0" w:line="460" w:lineRule="exact"/>
        <w:ind w:firstLine="560"/>
      </w:pPr>
      <w:r>
        <w:rPr>
          <w:rFonts w:ascii="仿宋" w:hAnsi="仿宋" w:eastAsia="仿宋"/>
          <w:b w:val="0"/>
          <w:sz w:val="28"/>
        </w:rPr>
        <w:t>纳税人发生的与本条上述情形类似的应税交易，比照执行。</w:t>
      </w:r>
    </w:p>
    <w:p w14:paraId="203FBFF3">
      <w:pPr>
        <w:spacing w:before="0" w:after="0" w:line="460" w:lineRule="exact"/>
        <w:ind w:firstLine="560"/>
      </w:pPr>
      <w:r>
        <w:rPr>
          <w:rFonts w:ascii="仿宋" w:hAnsi="仿宋" w:eastAsia="仿宋"/>
          <w:b w:val="0"/>
          <w:sz w:val="28"/>
        </w:rPr>
        <w:t>四、　关于纳税义务发生时间</w:t>
      </w:r>
    </w:p>
    <w:p w14:paraId="25D67104">
      <w:pPr>
        <w:spacing w:before="0" w:after="0" w:line="460" w:lineRule="exact"/>
        <w:ind w:firstLine="560"/>
      </w:pPr>
      <w:r>
        <w:rPr>
          <w:rFonts w:ascii="仿宋" w:hAnsi="仿宋" w:eastAsia="仿宋"/>
          <w:b w:val="0"/>
          <w:sz w:val="28"/>
        </w:rPr>
        <w:t>（一）纳税人生产销售生产工期超过12个月的大型机械设备、船舶、飞机等货物，纳税义务发生时间为收到款项或者书面合同确定的付款日期的当日。</w:t>
      </w:r>
    </w:p>
    <w:p w14:paraId="063D3525">
      <w:pPr>
        <w:spacing w:before="0" w:after="0" w:line="460" w:lineRule="exact"/>
        <w:ind w:firstLine="560"/>
      </w:pPr>
      <w:r>
        <w:rPr>
          <w:rFonts w:ascii="仿宋" w:hAnsi="仿宋" w:eastAsia="仿宋"/>
          <w:b w:val="0"/>
          <w:sz w:val="28"/>
        </w:rPr>
        <w:t>（二）纳税人销售服务，先收取价款再分期或者分次提供服务的，以首次提供服务的实际开始当日和合同约定的当日，按照孰先原则确定纳税义务发生时间，纳税人应当就收到的全部价款申报缴纳增值税。</w:t>
      </w:r>
    </w:p>
    <w:p w14:paraId="6ABE050C">
      <w:pPr>
        <w:spacing w:before="0" w:after="0" w:line="460" w:lineRule="exact"/>
        <w:ind w:firstLine="560"/>
      </w:pPr>
      <w:r>
        <w:rPr>
          <w:rFonts w:ascii="仿宋" w:hAnsi="仿宋" w:eastAsia="仿宋"/>
          <w:b w:val="0"/>
          <w:sz w:val="28"/>
        </w:rPr>
        <w:t>（三）纳税人销售不动产，完成权属登记或者实际交付不动产，属于增值税法实施条例第三十九条、第四十条所称的不动产转让完成；完成权属登记且实际交付不动产的，按照孰先原则确定不动产转让完成的时间。</w:t>
      </w:r>
    </w:p>
    <w:p w14:paraId="035CF6C0">
      <w:pPr>
        <w:spacing w:before="0" w:after="0" w:line="460" w:lineRule="exact"/>
        <w:ind w:firstLine="560"/>
      </w:pPr>
      <w:r>
        <w:rPr>
          <w:rFonts w:ascii="仿宋" w:hAnsi="仿宋" w:eastAsia="仿宋"/>
          <w:b w:val="0"/>
          <w:sz w:val="28"/>
        </w:rPr>
        <w:t>（四）金融机构发放贷款后，自结息日起90天内发生的应收未收利息按现行规定缴纳增值税，自结息日起90天后发生的应收未收利息暂不缴纳增值税，待实际收到利息时按规定缴纳增值税。</w:t>
      </w:r>
    </w:p>
    <w:p w14:paraId="70AD49DD">
      <w:pPr>
        <w:spacing w:before="0" w:after="0" w:line="460" w:lineRule="exact"/>
        <w:ind w:firstLine="560"/>
      </w:pPr>
      <w:r>
        <w:rPr>
          <w:rFonts w:ascii="仿宋" w:hAnsi="仿宋" w:eastAsia="仿宋"/>
          <w:b w:val="0"/>
          <w:sz w:val="28"/>
        </w:rPr>
        <w:t>上述所称金融机构，是指银行、信用社、财务公司、信托公司、证券公司、保险公司、金融租赁公司、证券基金管理公司以及其他经中国人民银行、金融监管总局、中国证监会批准成立且经营金融保险业务的金融机构。</w:t>
      </w:r>
    </w:p>
    <w:p w14:paraId="04C03FE6">
      <w:pPr>
        <w:spacing w:before="0" w:after="0" w:line="460" w:lineRule="exact"/>
        <w:ind w:firstLine="560"/>
      </w:pPr>
      <w:r>
        <w:rPr>
          <w:rFonts w:ascii="仿宋" w:hAnsi="仿宋" w:eastAsia="仿宋"/>
          <w:b w:val="0"/>
          <w:sz w:val="28"/>
        </w:rPr>
        <w:t>本公告自2026年1月1日起施行。此前规定与本公告规定不一致的，以本公告为准。</w:t>
      </w:r>
    </w:p>
    <w:p w14:paraId="4E25A422">
      <w:pPr>
        <w:spacing w:before="0" w:after="0" w:line="460" w:lineRule="exact"/>
        <w:ind w:firstLine="560"/>
      </w:pPr>
      <w:r>
        <w:rPr>
          <w:rFonts w:ascii="仿宋" w:hAnsi="仿宋" w:eastAsia="仿宋"/>
          <w:b w:val="0"/>
          <w:sz w:val="28"/>
        </w:rPr>
        <w:t>特此公告。</w:t>
      </w:r>
    </w:p>
    <w:p w14:paraId="1FF5737A">
      <w:pPr>
        <w:spacing w:before="0" w:after="0" w:line="460" w:lineRule="exact"/>
        <w:ind w:firstLine="560"/>
      </w:pPr>
      <w:r>
        <w:rPr>
          <w:rFonts w:ascii="仿宋" w:hAnsi="仿宋" w:eastAsia="仿宋"/>
          <w:b w:val="0"/>
          <w:sz w:val="28"/>
        </w:rPr>
        <w:t>财政部 税务总局</w:t>
      </w:r>
    </w:p>
    <w:p w14:paraId="6099E630">
      <w:pPr>
        <w:spacing w:before="0" w:after="0" w:line="460" w:lineRule="exact"/>
        <w:ind w:firstLine="560"/>
      </w:pPr>
      <w:r>
        <w:rPr>
          <w:rFonts w:ascii="仿宋" w:hAnsi="仿宋" w:eastAsia="仿宋"/>
          <w:b w:val="0"/>
          <w:sz w:val="28"/>
        </w:rPr>
        <w:t>2026年1月30日</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儷宋 Pro">
    <w:panose1 w:val="02020300000000000000"/>
    <w:charset w:val="88"/>
    <w:family w:val="auto"/>
    <w:pitch w:val="default"/>
    <w:sig w:usb0="80000001" w:usb1="28091800" w:usb2="00000016" w:usb3="00000000" w:csb0="00100000"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D8701">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DFE12E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A51A32C378D28FE34F27796A0022A200_42</vt:lpwstr>
  </property>
</Properties>
</file>